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jc w:val="center"/>
        <w:rPr>
          <w:rFonts w:hint="eastAsia" w:ascii="宋体" w:hAnsi="宋体" w:eastAsia="宋体" w:cs="宋体"/>
          <w:color w:val="000000"/>
          <w:sz w:val="36"/>
          <w:highlight w:val="none"/>
        </w:rPr>
      </w:pPr>
      <w:bookmarkStart w:id="0" w:name="_Toc121083160"/>
      <w:bookmarkStart w:id="31" w:name="_GoBack"/>
      <w:bookmarkEnd w:id="31"/>
      <w:r>
        <w:rPr>
          <w:rFonts w:hint="eastAsia" w:ascii="宋体" w:hAnsi="宋体" w:eastAsia="宋体" w:cs="宋体"/>
          <w:color w:val="000000"/>
          <w:sz w:val="36"/>
          <w:highlight w:val="none"/>
        </w:rPr>
        <w:t>扬州市长乐客栈酒店有限公司食品原材料供应项目（一）二次招标公告</w:t>
      </w:r>
      <w:bookmarkEnd w:id="0"/>
    </w:p>
    <w:p>
      <w:pPr>
        <w:autoSpaceDN w:val="0"/>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受</w:t>
      </w:r>
      <w:bookmarkStart w:id="1" w:name="_Hlk120094661"/>
      <w:r>
        <w:rPr>
          <w:rFonts w:hint="eastAsia" w:ascii="宋体" w:hAnsi="宋体" w:eastAsia="宋体" w:cs="宋体"/>
          <w:color w:val="000000"/>
          <w:szCs w:val="21"/>
          <w:highlight w:val="none"/>
        </w:rPr>
        <w:t>扬州市长乐客栈酒店有限公司</w:t>
      </w:r>
      <w:bookmarkEnd w:id="1"/>
      <w:r>
        <w:rPr>
          <w:rFonts w:hint="eastAsia" w:ascii="宋体" w:hAnsi="宋体" w:eastAsia="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eastAsia="宋体" w:cs="宋体"/>
          <w:color w:val="000000"/>
          <w:szCs w:val="21"/>
          <w:highlight w:val="none"/>
        </w:rPr>
        <w:t>（以下简称“代理机构”）</w:t>
      </w:r>
      <w:r>
        <w:rPr>
          <w:rFonts w:hint="eastAsia" w:ascii="宋体" w:hAnsi="宋体" w:eastAsia="宋体" w:cs="宋体"/>
          <w:bCs/>
          <w:color w:val="000000"/>
          <w:szCs w:val="21"/>
          <w:highlight w:val="none"/>
        </w:rPr>
        <w:t>就其</w:t>
      </w:r>
      <w:r>
        <w:rPr>
          <w:rFonts w:hint="eastAsia" w:ascii="宋体" w:hAnsi="宋体" w:eastAsia="宋体" w:cs="宋体"/>
          <w:color w:val="000000"/>
          <w:szCs w:val="21"/>
          <w:highlight w:val="none"/>
        </w:rPr>
        <w:t>食品原材料供应项目（</w:t>
      </w:r>
      <w:r>
        <w:rPr>
          <w:rFonts w:hint="eastAsia" w:ascii="宋体" w:hAnsi="宋体" w:cs="宋体"/>
          <w:color w:val="000000"/>
          <w:szCs w:val="21"/>
          <w:highlight w:val="none"/>
          <w:lang w:eastAsia="zh-CN"/>
        </w:rPr>
        <w:t>RHZH-20240205</w:t>
      </w:r>
      <w:r>
        <w:rPr>
          <w:rFonts w:hint="eastAsia" w:ascii="宋体" w:hAnsi="宋体" w:eastAsia="宋体" w:cs="宋体"/>
          <w:color w:val="000000"/>
          <w:szCs w:val="21"/>
          <w:highlight w:val="none"/>
        </w:rPr>
        <w:t>）进行公开招标，</w:t>
      </w:r>
      <w:r>
        <w:rPr>
          <w:rFonts w:hint="eastAsia" w:ascii="宋体" w:hAnsi="宋体" w:eastAsia="宋体" w:cs="宋体"/>
          <w:bCs/>
          <w:color w:val="000000"/>
          <w:szCs w:val="21"/>
          <w:highlight w:val="none"/>
        </w:rPr>
        <w:t>现欢迎符合相关条件的供应商投标</w:t>
      </w:r>
      <w:r>
        <w:rPr>
          <w:rFonts w:hint="eastAsia" w:ascii="宋体" w:hAnsi="宋体" w:eastAsia="宋体" w:cs="宋体"/>
          <w:color w:val="000000"/>
          <w:szCs w:val="21"/>
          <w:highlight w:val="none"/>
        </w:rPr>
        <w:t>。</w:t>
      </w:r>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一、项目基本情况</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rPr>
        <w:t>1、项目编号：</w:t>
      </w:r>
      <w:r>
        <w:rPr>
          <w:rFonts w:hint="eastAsia" w:ascii="宋体" w:hAnsi="宋体" w:cs="宋体"/>
          <w:color w:val="000000"/>
          <w:szCs w:val="21"/>
          <w:highlight w:val="none"/>
          <w:lang w:eastAsia="zh-CN"/>
        </w:rPr>
        <w:t>RHZH-20240205</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rPr>
        <w:t>2、项目名称：</w:t>
      </w:r>
      <w:r>
        <w:rPr>
          <w:rFonts w:hint="eastAsia" w:ascii="宋体" w:hAnsi="宋体" w:cs="宋体"/>
          <w:color w:val="000000"/>
          <w:szCs w:val="21"/>
          <w:highlight w:val="none"/>
          <w:lang w:eastAsia="zh-CN"/>
        </w:rPr>
        <w:t>扬州市长乐客栈酒店有限公司食品原材料供应项目（一）二次</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概况：确保食品安全、强化管理，规范采购程序，保障饮食安全，合理控制采购成本，规范酒店财务管理、成本核算和服务行为，加强廉政风险防控，本着“公平、公开、公正”的原则，以质优价适、择优选购为目的，选择“产销直供、质量可溯、价格可控、放心食用”的供货单位。我公司决定对酒店所需食品面向社会公开招标，欢迎符合资质要求的供应商前来参加投标。</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本项目采用综合评分法，投标报价为折扣率。折扣率低于控制价折扣率的为无效报价，按照无效响应处理。</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4、采购需求：</w:t>
      </w:r>
    </w:p>
    <w:tbl>
      <w:tblPr>
        <w:tblStyle w:val="13"/>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2"/>
        <w:gridCol w:w="1861"/>
        <w:gridCol w:w="2354"/>
        <w:gridCol w:w="5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90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包别</w:t>
            </w:r>
          </w:p>
        </w:tc>
        <w:tc>
          <w:tcPr>
            <w:tcW w:w="1861"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rPr>
              <w:t>拟确定供应商数量</w:t>
            </w:r>
          </w:p>
        </w:tc>
        <w:tc>
          <w:tcPr>
            <w:tcW w:w="2354"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采购分类</w:t>
            </w:r>
          </w:p>
        </w:tc>
        <w:tc>
          <w:tcPr>
            <w:tcW w:w="502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主要食品质量要求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9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B包</w:t>
            </w:r>
          </w:p>
        </w:tc>
        <w:tc>
          <w:tcPr>
            <w:tcW w:w="1861"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cs="宋体"/>
                <w:color w:val="000000"/>
                <w:kern w:val="0"/>
                <w:szCs w:val="21"/>
                <w:highlight w:val="none"/>
                <w:shd w:val="clear" w:color="auto" w:fill="FFFFFF"/>
                <w:lang w:val="en-US" w:eastAsia="zh-CN"/>
              </w:rPr>
              <w:t>二</w:t>
            </w:r>
            <w:r>
              <w:rPr>
                <w:rFonts w:hint="eastAsia" w:ascii="宋体" w:hAnsi="宋体" w:eastAsia="宋体" w:cs="宋体"/>
                <w:color w:val="000000"/>
                <w:kern w:val="0"/>
                <w:szCs w:val="21"/>
                <w:highlight w:val="none"/>
                <w:shd w:val="clear" w:color="auto" w:fill="FFFFFF"/>
              </w:rPr>
              <w:t>家</w:t>
            </w:r>
          </w:p>
        </w:tc>
        <w:tc>
          <w:tcPr>
            <w:tcW w:w="2354"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水产二类</w:t>
            </w:r>
          </w:p>
        </w:tc>
        <w:tc>
          <w:tcPr>
            <w:tcW w:w="5022" w:type="dxa"/>
            <w:vMerge w:val="restart"/>
            <w:noWrap w:val="0"/>
            <w:vAlign w:val="center"/>
          </w:tcPr>
          <w:p>
            <w:pPr>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鱼虾类及辅料类必须保证新鲜、绿色、无公害，且符合食品卫生安全法要求。</w:t>
            </w:r>
          </w:p>
          <w:p>
            <w:pPr>
              <w:rPr>
                <w:rFonts w:hint="eastAsia" w:ascii="宋体" w:hAnsi="宋体" w:eastAsia="宋体" w:cs="宋体"/>
                <w:b/>
                <w:bCs/>
                <w:color w:val="000000"/>
                <w:szCs w:val="21"/>
                <w:highlight w:val="none"/>
              </w:rPr>
            </w:pPr>
            <w:r>
              <w:rPr>
                <w:rFonts w:hint="eastAsia" w:ascii="宋体" w:hAnsi="宋体" w:eastAsia="宋体" w:cs="宋体"/>
                <w:b/>
                <w:bCs/>
                <w:color w:val="000000"/>
                <w:highlight w:val="none"/>
              </w:rPr>
              <w:t>备注：1、</w:t>
            </w:r>
            <w:r>
              <w:rPr>
                <w:rFonts w:hint="eastAsia" w:ascii="宋体" w:hAnsi="宋体" w:eastAsia="宋体" w:cs="宋体"/>
                <w:b/>
                <w:bCs/>
                <w:color w:val="000000"/>
                <w:szCs w:val="21"/>
                <w:highlight w:val="none"/>
              </w:rPr>
              <w:t>猪肉新鲜无异味。</w:t>
            </w:r>
          </w:p>
          <w:p>
            <w:pPr>
              <w:ind w:firstLine="632" w:firstLineChars="3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2、家禽、猪肉、牛羊肉无打水现象。</w:t>
            </w:r>
          </w:p>
          <w:p>
            <w:pPr>
              <w:ind w:firstLine="632" w:firstLineChars="3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3、袋装食品保质期不得低于80%。</w:t>
            </w:r>
          </w:p>
          <w:p>
            <w:pPr>
              <w:ind w:firstLine="632" w:firstLineChars="3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4、发现原料以次充好，立刻进行无条件退换；如发现第二次要进行处罚，按原料价格的五倍处罚。</w:t>
            </w:r>
          </w:p>
          <w:p>
            <w:pPr>
              <w:ind w:firstLine="632" w:firstLineChars="300"/>
              <w:jc w:val="left"/>
              <w:rPr>
                <w:rFonts w:hint="eastAsia" w:ascii="宋体" w:hAnsi="宋体" w:eastAsia="宋体" w:cs="宋体"/>
                <w:color w:val="000000"/>
                <w:highlight w:val="none"/>
              </w:rPr>
            </w:pPr>
            <w:r>
              <w:rPr>
                <w:rFonts w:hint="eastAsia" w:ascii="宋体" w:hAnsi="宋体" w:eastAsia="宋体" w:cs="宋体"/>
                <w:b/>
                <w:bCs/>
                <w:color w:val="000000"/>
                <w:szCs w:val="21"/>
                <w:highlight w:val="none"/>
              </w:rPr>
              <w:t>5、发现变质的食品原料，直接进行退货并按照原材料价格进行处罚。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9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C包</w:t>
            </w:r>
          </w:p>
        </w:tc>
        <w:tc>
          <w:tcPr>
            <w:tcW w:w="1861"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一家</w:t>
            </w:r>
          </w:p>
        </w:tc>
        <w:tc>
          <w:tcPr>
            <w:tcW w:w="2354"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猪肉类</w:t>
            </w:r>
          </w:p>
        </w:tc>
        <w:tc>
          <w:tcPr>
            <w:tcW w:w="5022" w:type="dxa"/>
            <w:vMerge w:val="continue"/>
            <w:noWrap w:val="0"/>
            <w:vAlign w:val="center"/>
          </w:tcPr>
          <w:p>
            <w:pPr>
              <w:tabs>
                <w:tab w:val="left" w:pos="312"/>
              </w:tabs>
              <w:ind w:firstLine="420"/>
              <w:rPr>
                <w:rFonts w:hint="eastAsia" w:ascii="宋体" w:hAnsi="宋体" w:eastAsia="宋体" w:cs="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jc w:val="center"/>
        </w:trPr>
        <w:tc>
          <w:tcPr>
            <w:tcW w:w="9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D包</w:t>
            </w:r>
          </w:p>
        </w:tc>
        <w:tc>
          <w:tcPr>
            <w:tcW w:w="1861"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一家</w:t>
            </w:r>
          </w:p>
        </w:tc>
        <w:tc>
          <w:tcPr>
            <w:tcW w:w="2354"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牛羊肉类</w:t>
            </w:r>
          </w:p>
        </w:tc>
        <w:tc>
          <w:tcPr>
            <w:tcW w:w="5022" w:type="dxa"/>
            <w:vMerge w:val="continue"/>
            <w:noWrap w:val="0"/>
            <w:vAlign w:val="center"/>
          </w:tcPr>
          <w:p>
            <w:pPr>
              <w:widowControl/>
              <w:spacing w:line="276" w:lineRule="auto"/>
              <w:ind w:firstLine="420" w:firstLineChars="200"/>
              <w:rPr>
                <w:rFonts w:hint="eastAsia" w:ascii="宋体" w:hAnsi="宋体" w:eastAsia="宋体" w:cs="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exact"/>
          <w:jc w:val="center"/>
        </w:trPr>
        <w:tc>
          <w:tcPr>
            <w:tcW w:w="902"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E包</w:t>
            </w:r>
          </w:p>
        </w:tc>
        <w:tc>
          <w:tcPr>
            <w:tcW w:w="1861"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cs="宋体"/>
                <w:color w:val="000000"/>
                <w:kern w:val="0"/>
                <w:szCs w:val="21"/>
                <w:highlight w:val="none"/>
                <w:shd w:val="clear" w:color="auto" w:fill="FFFFFF"/>
                <w:lang w:val="en-US" w:eastAsia="zh-CN"/>
              </w:rPr>
              <w:t>二</w:t>
            </w:r>
            <w:r>
              <w:rPr>
                <w:rFonts w:hint="eastAsia" w:ascii="宋体" w:hAnsi="宋体" w:eastAsia="宋体" w:cs="宋体"/>
                <w:color w:val="000000"/>
                <w:kern w:val="0"/>
                <w:szCs w:val="21"/>
                <w:highlight w:val="none"/>
                <w:shd w:val="clear" w:color="auto" w:fill="FFFFFF"/>
              </w:rPr>
              <w:t>家</w:t>
            </w:r>
          </w:p>
        </w:tc>
        <w:tc>
          <w:tcPr>
            <w:tcW w:w="2354"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家禽类</w:t>
            </w:r>
          </w:p>
        </w:tc>
        <w:tc>
          <w:tcPr>
            <w:tcW w:w="5022" w:type="dxa"/>
            <w:vMerge w:val="continue"/>
            <w:noWrap w:val="0"/>
            <w:vAlign w:val="center"/>
          </w:tcPr>
          <w:p>
            <w:pPr>
              <w:widowControl/>
              <w:spacing w:line="276" w:lineRule="auto"/>
              <w:ind w:firstLine="420" w:firstLineChars="200"/>
              <w:rPr>
                <w:rFonts w:hint="eastAsia" w:ascii="宋体" w:hAnsi="宋体" w:eastAsia="宋体" w:cs="宋体"/>
                <w:color w:val="000000"/>
                <w:kern w:val="0"/>
                <w:szCs w:val="21"/>
                <w:highlight w:val="none"/>
                <w:shd w:val="clear" w:color="auto" w:fill="FFFFFF"/>
              </w:rPr>
            </w:pPr>
          </w:p>
        </w:tc>
      </w:tr>
    </w:tbl>
    <w:p>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本项目一共有B、C、D、E</w:t>
      </w:r>
      <w:r>
        <w:rPr>
          <w:rFonts w:hint="eastAsia" w:ascii="宋体" w:hAnsi="宋体" w:cs="宋体"/>
          <w:b/>
          <w:bCs/>
          <w:color w:val="000000"/>
          <w:szCs w:val="21"/>
          <w:highlight w:val="none"/>
          <w:lang w:val="en-US" w:eastAsia="zh-CN"/>
        </w:rPr>
        <w:t>五</w:t>
      </w:r>
      <w:r>
        <w:rPr>
          <w:rFonts w:hint="eastAsia" w:ascii="宋体" w:hAnsi="宋体" w:eastAsia="宋体" w:cs="宋体"/>
          <w:b/>
          <w:bCs/>
          <w:color w:val="000000"/>
          <w:szCs w:val="21"/>
          <w:highlight w:val="none"/>
        </w:rPr>
        <w:t>个包，可单独投一个包，</w:t>
      </w:r>
      <w:r>
        <w:rPr>
          <w:rFonts w:hint="eastAsia" w:ascii="宋体" w:hAnsi="宋体" w:cs="宋体"/>
          <w:b/>
          <w:bCs/>
          <w:color w:val="000000"/>
          <w:szCs w:val="21"/>
          <w:highlight w:val="none"/>
          <w:lang w:val="en-US" w:eastAsia="zh-CN"/>
        </w:rPr>
        <w:t>也</w:t>
      </w:r>
      <w:r>
        <w:rPr>
          <w:rFonts w:hint="eastAsia" w:ascii="宋体" w:hAnsi="宋体" w:eastAsia="宋体" w:cs="宋体"/>
          <w:b/>
          <w:bCs/>
          <w:color w:val="000000"/>
          <w:szCs w:val="21"/>
          <w:highlight w:val="none"/>
        </w:rPr>
        <w:t>可以投</w:t>
      </w:r>
      <w:r>
        <w:rPr>
          <w:rFonts w:hint="eastAsia" w:ascii="宋体" w:hAnsi="宋体" w:cs="宋体"/>
          <w:b/>
          <w:bCs/>
          <w:color w:val="000000"/>
          <w:szCs w:val="21"/>
          <w:highlight w:val="none"/>
          <w:lang w:val="en-US" w:eastAsia="zh-CN"/>
        </w:rPr>
        <w:t>多</w:t>
      </w:r>
      <w:r>
        <w:rPr>
          <w:rFonts w:hint="eastAsia" w:ascii="宋体" w:hAnsi="宋体" w:eastAsia="宋体" w:cs="宋体"/>
          <w:b/>
          <w:bCs/>
          <w:color w:val="000000"/>
          <w:szCs w:val="21"/>
          <w:highlight w:val="none"/>
        </w:rPr>
        <w:t>个包，开标顺序按照B、C、D、E的顺序，可兼中</w:t>
      </w:r>
      <w:r>
        <w:rPr>
          <w:rFonts w:hint="eastAsia" w:ascii="宋体" w:hAnsi="宋体" w:cs="宋体"/>
          <w:b/>
          <w:bCs/>
          <w:color w:val="000000"/>
          <w:szCs w:val="21"/>
          <w:highlight w:val="none"/>
          <w:lang w:val="en-US" w:eastAsia="zh-CN"/>
        </w:rPr>
        <w:t>2个包</w:t>
      </w:r>
      <w:r>
        <w:rPr>
          <w:rFonts w:hint="eastAsia" w:ascii="宋体" w:hAnsi="宋体" w:eastAsia="宋体" w:cs="宋体"/>
          <w:b/>
          <w:bCs/>
          <w:color w:val="000000"/>
          <w:szCs w:val="21"/>
          <w:highlight w:val="none"/>
        </w:rPr>
        <w:t>。</w:t>
      </w:r>
    </w:p>
    <w:p>
      <w:pPr>
        <w:spacing w:line="440" w:lineRule="exact"/>
        <w:ind w:firstLine="420" w:firstLineChars="2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5、合同履行期限：</w:t>
      </w:r>
      <w:r>
        <w:rPr>
          <w:rFonts w:hint="eastAsia" w:ascii="宋体" w:hAnsi="宋体" w:cs="宋体"/>
          <w:color w:val="000000"/>
          <w:szCs w:val="21"/>
          <w:highlight w:val="none"/>
          <w:lang w:val="en-US" w:eastAsia="zh-CN"/>
        </w:rPr>
        <w:t>本项目自合同签订之日起壹年。根据甲方进度要求分期供货。如下一年度招标程序尚未完成，可顺延供货协议至下一年度供应商确定后终止。</w:t>
      </w:r>
    </w:p>
    <w:p>
      <w:pPr>
        <w:tabs>
          <w:tab w:val="left" w:pos="90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6、本项目</w:t>
      </w:r>
      <w:r>
        <w:rPr>
          <w:rFonts w:hint="eastAsia" w:ascii="宋体" w:hAnsi="宋体" w:eastAsia="宋体" w:cs="宋体"/>
          <w:color w:val="000000"/>
          <w:szCs w:val="21"/>
          <w:highlight w:val="none"/>
          <w:u w:val="single"/>
        </w:rPr>
        <w:t>不接受</w:t>
      </w:r>
      <w:r>
        <w:rPr>
          <w:rFonts w:hint="eastAsia" w:ascii="宋体" w:hAnsi="宋体" w:eastAsia="宋体" w:cs="宋体"/>
          <w:color w:val="000000"/>
          <w:szCs w:val="21"/>
          <w:highlight w:val="none"/>
        </w:rPr>
        <w:t>联合体投标。</w:t>
      </w:r>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二、申请人的资格要求</w:t>
      </w:r>
    </w:p>
    <w:p>
      <w:pPr>
        <w:pStyle w:val="12"/>
        <w:spacing w:before="0" w:beforeAutospacing="0" w:after="0" w:afterAutospacing="0" w:line="360" w:lineRule="auto"/>
        <w:ind w:firstLine="420" w:firstLineChars="200"/>
        <w:rPr>
          <w:rFonts w:hint="eastAsia" w:ascii="宋体" w:hAnsi="宋体" w:eastAsia="宋体" w:cs="宋体"/>
          <w:color w:val="000000"/>
          <w:sz w:val="21"/>
          <w:szCs w:val="21"/>
          <w:highlight w:val="none"/>
        </w:rPr>
      </w:pPr>
      <w:bookmarkStart w:id="2" w:name="_Toc35393803"/>
      <w:bookmarkStart w:id="3" w:name="_Toc28359094"/>
      <w:bookmarkStart w:id="4" w:name="_Toc35393634"/>
      <w:bookmarkStart w:id="5" w:name="_Toc28359017"/>
      <w:bookmarkStart w:id="6" w:name="_Toc35393631"/>
      <w:bookmarkStart w:id="7" w:name="_Toc35393800"/>
      <w:r>
        <w:rPr>
          <w:rFonts w:hint="eastAsia" w:ascii="宋体" w:hAnsi="宋体" w:eastAsia="宋体" w:cs="宋体"/>
          <w:color w:val="000000"/>
          <w:kern w:val="1"/>
          <w:sz w:val="21"/>
          <w:szCs w:val="21"/>
          <w:highlight w:val="none"/>
        </w:rPr>
        <w:t>（一）符合相关法律法规规定的条件：</w:t>
      </w:r>
    </w:p>
    <w:p>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 xml:space="preserve">与第（6）条相对应的纳税申报表或经会计师事务所审计的 </w:t>
      </w:r>
      <w:r>
        <w:rPr>
          <w:rFonts w:hint="eastAsia" w:ascii="宋体" w:hAnsi="宋体" w:cs="宋体"/>
          <w:i/>
          <w:highlight w:val="none"/>
          <w:u w:val="single"/>
          <w:lang w:eastAsia="zh-CN"/>
        </w:rPr>
        <w:t>2023年度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pPr>
        <w:spacing w:line="360" w:lineRule="auto"/>
        <w:ind w:firstLine="422" w:firstLineChars="200"/>
        <w:rPr>
          <w:rFonts w:hint="eastAsia" w:ascii="宋体" w:hAnsi="宋体" w:eastAsia="宋体" w:cs="宋体"/>
          <w:b/>
          <w:bCs/>
          <w:color w:val="000000"/>
          <w:kern w:val="1"/>
          <w:szCs w:val="21"/>
          <w:highlight w:val="none"/>
        </w:rPr>
      </w:pPr>
      <w:r>
        <w:rPr>
          <w:rFonts w:hint="eastAsia" w:ascii="宋体" w:hAnsi="宋体" w:eastAsia="宋体" w:cs="宋体"/>
          <w:b/>
          <w:bCs/>
          <w:color w:val="000000"/>
          <w:kern w:val="1"/>
          <w:szCs w:val="21"/>
          <w:highlight w:val="none"/>
        </w:rPr>
        <w:t>注：①如供应商为非企业法人</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lang w:val="en-US" w:eastAsia="zh-CN"/>
        </w:rPr>
        <w:t>个体工商户</w:t>
      </w:r>
      <w:r>
        <w:rPr>
          <w:rFonts w:hint="eastAsia" w:ascii="宋体" w:hAnsi="宋体" w:eastAsia="宋体" w:cs="宋体"/>
          <w:b/>
          <w:bCs/>
          <w:color w:val="000000"/>
          <w:kern w:val="1"/>
          <w:szCs w:val="21"/>
          <w:highlight w:val="none"/>
        </w:rPr>
        <w:t>，则5、6、7项无需提供。</w:t>
      </w:r>
    </w:p>
    <w:p>
      <w:pPr>
        <w:spacing w:line="360" w:lineRule="auto"/>
        <w:ind w:firstLine="422" w:firstLineChars="200"/>
        <w:rPr>
          <w:rFonts w:hint="eastAsia" w:ascii="宋体" w:hAnsi="宋体" w:eastAsia="宋体" w:cs="宋体"/>
          <w:b/>
          <w:bCs/>
          <w:color w:val="000000"/>
          <w:kern w:val="1"/>
          <w:szCs w:val="21"/>
          <w:highlight w:val="none"/>
        </w:rPr>
      </w:pPr>
      <w:r>
        <w:rPr>
          <w:rFonts w:hint="eastAsia" w:ascii="宋体" w:hAnsi="宋体" w:eastAsia="宋体" w:cs="宋体"/>
          <w:b/>
          <w:bCs/>
          <w:color w:val="000000"/>
          <w:kern w:val="1"/>
          <w:szCs w:val="21"/>
          <w:highlight w:val="none"/>
        </w:rPr>
        <w:t>②享受国家政策缓交或减免规费税金的，可提供政策支持文件替代相关证明材料。</w:t>
      </w:r>
    </w:p>
    <w:p>
      <w:pPr>
        <w:pStyle w:val="12"/>
        <w:numPr>
          <w:ilvl w:val="0"/>
          <w:numId w:val="1"/>
        </w:numPr>
        <w:spacing w:before="0" w:beforeAutospacing="0" w:after="0" w:afterAutospacing="0" w:line="360" w:lineRule="auto"/>
        <w:ind w:firstLine="420" w:firstLineChars="200"/>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采购人根据本项目要求规定的特定条件：</w:t>
      </w:r>
      <w:r>
        <w:rPr>
          <w:rFonts w:hint="eastAsia" w:ascii="宋体" w:hAnsi="宋体" w:eastAsia="宋体" w:cs="宋体"/>
          <w:i/>
          <w:iCs/>
          <w:color w:val="000000"/>
          <w:kern w:val="1"/>
          <w:sz w:val="21"/>
          <w:szCs w:val="21"/>
          <w:highlight w:val="none"/>
          <w:u w:val="single"/>
        </w:rPr>
        <w:t>具有有效期内的《食品流通许可证》或《食品经营许可证》或《食品生产许可证》（复印件加盖供应商公章）</w:t>
      </w:r>
      <w:r>
        <w:rPr>
          <w:rFonts w:hint="eastAsia" w:ascii="宋体" w:hAnsi="宋体" w:eastAsia="宋体" w:cs="宋体"/>
          <w:color w:val="000000"/>
          <w:kern w:val="1"/>
          <w:sz w:val="21"/>
          <w:szCs w:val="21"/>
          <w:highlight w:val="none"/>
        </w:rPr>
        <w:t>；</w:t>
      </w:r>
    </w:p>
    <w:p>
      <w:pPr>
        <w:pStyle w:val="12"/>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1"/>
          <w:sz w:val="21"/>
          <w:szCs w:val="21"/>
          <w:highlight w:val="none"/>
        </w:rPr>
        <w:t>（三）拒绝下述供应商参加本次采购活动：</w:t>
      </w:r>
    </w:p>
    <w:p>
      <w:pPr>
        <w:spacing w:line="360" w:lineRule="auto"/>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（1）供应商单位负责人为同一人或者存在直接控股、管理关系的不同供应商，不得参加同一合同项下的政府采购活动。</w:t>
      </w:r>
    </w:p>
    <w:p>
      <w:pPr>
        <w:spacing w:line="360" w:lineRule="auto"/>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（2）凡为采购项目提供整体设计、规范编制或者项目管理、监理、检测等服务的供应商，不得再参加该项目的其他采购活动。</w:t>
      </w:r>
    </w:p>
    <w:p>
      <w:pPr>
        <w:pStyle w:val="6"/>
        <w:spacing w:before="0" w:after="0" w:line="360" w:lineRule="auto"/>
        <w:rPr>
          <w:rFonts w:hint="eastAsia" w:ascii="宋体" w:hAnsi="宋体" w:eastAsia="宋体" w:cs="宋体"/>
          <w:color w:val="000000"/>
          <w:sz w:val="21"/>
          <w:szCs w:val="21"/>
          <w:highlight w:val="none"/>
        </w:rPr>
      </w:pPr>
      <w:bookmarkStart w:id="8" w:name="_Toc121083161"/>
      <w:r>
        <w:rPr>
          <w:rFonts w:hint="eastAsia" w:ascii="宋体" w:hAnsi="宋体" w:eastAsia="宋体" w:cs="宋体"/>
          <w:color w:val="000000"/>
          <w:sz w:val="21"/>
          <w:szCs w:val="21"/>
          <w:highlight w:val="none"/>
        </w:rPr>
        <w:t>三、公告期限</w:t>
      </w:r>
      <w:bookmarkEnd w:id="2"/>
      <w:bookmarkEnd w:id="3"/>
      <w:bookmarkEnd w:id="4"/>
      <w:bookmarkEnd w:id="5"/>
      <w:bookmarkEnd w:id="8"/>
    </w:p>
    <w:p>
      <w:pPr>
        <w:pStyle w:val="6"/>
        <w:spacing w:before="0" w:after="0" w:line="360" w:lineRule="auto"/>
        <w:ind w:firstLine="420" w:firstLineChars="200"/>
        <w:rPr>
          <w:rFonts w:hint="eastAsia" w:ascii="宋体" w:hAnsi="宋体" w:eastAsia="宋体" w:cs="宋体"/>
          <w:b w:val="0"/>
          <w:color w:val="000000"/>
          <w:sz w:val="21"/>
          <w:szCs w:val="21"/>
          <w:highlight w:val="none"/>
        </w:rPr>
      </w:pPr>
      <w:bookmarkStart w:id="9" w:name="_Toc121083162"/>
      <w:r>
        <w:rPr>
          <w:rFonts w:hint="eastAsia" w:ascii="宋体" w:hAnsi="宋体" w:eastAsia="宋体" w:cs="宋体"/>
          <w:b w:val="0"/>
          <w:color w:val="000000"/>
          <w:sz w:val="21"/>
          <w:szCs w:val="21"/>
          <w:highlight w:val="none"/>
        </w:rPr>
        <w:t>自招标公告在</w:t>
      </w:r>
      <w:r>
        <w:rPr>
          <w:rFonts w:hint="eastAsia" w:ascii="宋体" w:hAnsi="宋体" w:cs="宋体"/>
          <w:b w:val="0"/>
          <w:color w:val="000000"/>
          <w:sz w:val="21"/>
          <w:szCs w:val="21"/>
          <w:highlight w:val="none"/>
          <w:lang w:eastAsia="zh-CN"/>
        </w:rPr>
        <w:t>“扬州市公共资源交易服务平台、扬州市城建国有资产控股（集团）有限责任公司网站、扬州市名城建设有限公司网站</w:t>
      </w:r>
      <w:r>
        <w:rPr>
          <w:rFonts w:hint="eastAsia" w:ascii="宋体" w:hAnsi="宋体" w:eastAsia="宋体" w:cs="宋体"/>
          <w:b w:val="0"/>
          <w:color w:val="000000"/>
          <w:sz w:val="21"/>
          <w:szCs w:val="21"/>
          <w:highlight w:val="none"/>
        </w:rPr>
        <w:t>”发布之日起不少于5</w:t>
      </w:r>
      <w:r>
        <w:rPr>
          <w:rFonts w:hint="eastAsia" w:ascii="宋体" w:hAnsi="宋体" w:cs="宋体"/>
          <w:b w:val="0"/>
          <w:color w:val="000000"/>
          <w:sz w:val="21"/>
          <w:szCs w:val="21"/>
          <w:highlight w:val="none"/>
          <w:lang w:val="en-US" w:eastAsia="zh-CN"/>
        </w:rPr>
        <w:t>个工作</w:t>
      </w:r>
      <w:r>
        <w:rPr>
          <w:rFonts w:hint="eastAsia" w:ascii="宋体" w:hAnsi="宋体" w:eastAsia="宋体" w:cs="宋体"/>
          <w:b w:val="0"/>
          <w:color w:val="000000"/>
          <w:sz w:val="21"/>
          <w:szCs w:val="21"/>
          <w:highlight w:val="none"/>
        </w:rPr>
        <w:t>日。</w:t>
      </w:r>
      <w:bookmarkEnd w:id="9"/>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四、获取招标文件</w:t>
      </w:r>
      <w:bookmarkEnd w:id="6"/>
      <w:bookmarkEnd w:id="7"/>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1、时间：</w:t>
      </w:r>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05</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21</w:t>
      </w:r>
      <w:r>
        <w:rPr>
          <w:rFonts w:hint="eastAsia" w:ascii="宋体" w:hAnsi="宋体" w:eastAsia="宋体" w:cs="宋体"/>
          <w:color w:val="000000"/>
          <w:szCs w:val="21"/>
          <w:highlight w:val="none"/>
          <w:u w:val="single"/>
        </w:rPr>
        <w:t>日至 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05</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27</w:t>
      </w:r>
      <w:r>
        <w:rPr>
          <w:rFonts w:hint="eastAsia" w:ascii="宋体" w:hAnsi="宋体" w:eastAsia="宋体" w:cs="宋体"/>
          <w:color w:val="000000"/>
          <w:szCs w:val="21"/>
          <w:highlight w:val="none"/>
          <w:u w:val="single"/>
        </w:rPr>
        <w:t>日每日</w:t>
      </w:r>
      <w:r>
        <w:rPr>
          <w:rFonts w:hint="eastAsia" w:ascii="宋体" w:hAnsi="宋体" w:cs="宋体"/>
          <w:szCs w:val="21"/>
          <w:highlight w:val="none"/>
          <w:u w:val="single"/>
          <w:shd w:val="clear" w:color="auto" w:fill="auto"/>
        </w:rPr>
        <w:t>（上</w:t>
      </w:r>
      <w:r>
        <w:rPr>
          <w:rFonts w:hint="eastAsia" w:ascii="宋体" w:hAnsi="宋体" w:cs="宋体"/>
          <w:szCs w:val="21"/>
          <w:highlight w:val="none"/>
          <w:u w:val="single"/>
        </w:rPr>
        <w:t>午9:00-11:30，下午</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0，北京时间，法定节假日除外）</w:t>
      </w:r>
      <w:r>
        <w:rPr>
          <w:rFonts w:hint="eastAsia" w:ascii="宋体" w:hAnsi="宋体" w:eastAsia="宋体" w:cs="宋体"/>
          <w:color w:val="000000"/>
          <w:szCs w:val="21"/>
          <w:highlight w:val="none"/>
          <w:u w:val="single"/>
        </w:rPr>
        <w:t>。</w:t>
      </w:r>
    </w:p>
    <w:p>
      <w:pPr>
        <w:pStyle w:val="11"/>
        <w:spacing w:line="360" w:lineRule="auto"/>
        <w:ind w:firstLine="420" w:firstLineChars="200"/>
        <w:rPr>
          <w:rFonts w:hint="eastAsia" w:ascii="宋体" w:hAnsi="宋体" w:cs="宋体"/>
          <w:highlight w:val="none"/>
          <w:u w:val="single"/>
        </w:rPr>
      </w:pPr>
      <w:bookmarkStart w:id="10" w:name="_Toc28359015"/>
      <w:bookmarkStart w:id="11" w:name="_Toc35393801"/>
      <w:bookmarkStart w:id="12" w:name="_Toc28359092"/>
      <w:bookmarkStart w:id="13" w:name="_Toc35393632"/>
      <w:bookmarkStart w:id="14" w:name="_Toc121083163"/>
      <w:r>
        <w:rPr>
          <w:rFonts w:hint="eastAsia" w:ascii="宋体" w:hAnsi="宋体" w:cs="宋体"/>
          <w:highlight w:val="none"/>
          <w:lang w:val="en-US" w:eastAsia="zh-CN"/>
        </w:rPr>
        <w:t>2、</w:t>
      </w:r>
      <w:r>
        <w:rPr>
          <w:rFonts w:hint="eastAsia" w:ascii="宋体" w:hAnsi="宋体" w:cs="宋体"/>
          <w:highlight w:val="none"/>
        </w:rPr>
        <w:t>地点：</w:t>
      </w:r>
      <w:r>
        <w:rPr>
          <w:rFonts w:hint="eastAsia" w:ascii="宋体" w:hAnsi="宋体" w:cs="宋体"/>
          <w:highlight w:val="none"/>
          <w:u w:val="single"/>
        </w:rPr>
        <w:t>江苏仁禾中衡工程咨询房地产估价有限公司（扬州市邗江中路330号星座国际7楼招标代理部）</w:t>
      </w:r>
    </w:p>
    <w:p>
      <w:pPr>
        <w:pStyle w:val="11"/>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方式：供应商携带：①营业执照复印件加盖投标人公章，②法人授权委托书原件，③授权代表身份证复印件加盖投标人公章及原件备查。</w:t>
      </w:r>
    </w:p>
    <w:p>
      <w:pPr>
        <w:pStyle w:val="11"/>
        <w:spacing w:line="360" w:lineRule="auto"/>
        <w:ind w:firstLine="420" w:firstLineChars="200"/>
        <w:rPr>
          <w:rFonts w:hint="eastAsia"/>
          <w:highlight w:val="none"/>
        </w:rPr>
      </w:pPr>
      <w:r>
        <w:rPr>
          <w:rFonts w:hint="eastAsia" w:ascii="宋体" w:hAnsi="宋体" w:cs="宋体"/>
          <w:highlight w:val="none"/>
          <w:lang w:val="en-US" w:eastAsia="zh-CN"/>
        </w:rPr>
        <w:t>4、</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pPr>
        <w:pStyle w:val="6"/>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w:t>
      </w:r>
      <w:bookmarkEnd w:id="10"/>
      <w:bookmarkEnd w:id="11"/>
      <w:bookmarkEnd w:id="12"/>
      <w:bookmarkEnd w:id="13"/>
      <w:r>
        <w:rPr>
          <w:rFonts w:hint="eastAsia" w:ascii="宋体" w:hAnsi="宋体" w:eastAsia="宋体" w:cs="宋体"/>
          <w:color w:val="000000"/>
          <w:sz w:val="21"/>
          <w:szCs w:val="21"/>
          <w:highlight w:val="none"/>
        </w:rPr>
        <w:t>提交投标文件截止时间、开标时间和地点</w:t>
      </w:r>
      <w:bookmarkEnd w:id="14"/>
    </w:p>
    <w:p>
      <w:pPr>
        <w:spacing w:line="360" w:lineRule="auto"/>
        <w:ind w:firstLine="525" w:firstLineChars="250"/>
        <w:rPr>
          <w:rFonts w:hint="eastAsia" w:ascii="宋体" w:hAnsi="宋体" w:eastAsia="宋体" w:cs="宋体"/>
          <w:iCs/>
          <w:color w:val="000000"/>
          <w:szCs w:val="21"/>
          <w:highlight w:val="none"/>
          <w:u w:val="single"/>
        </w:rPr>
      </w:pPr>
      <w:r>
        <w:rPr>
          <w:rFonts w:hint="eastAsia" w:ascii="宋体" w:hAnsi="宋体" w:eastAsia="宋体" w:cs="宋体"/>
          <w:color w:val="000000"/>
          <w:szCs w:val="21"/>
          <w:highlight w:val="none"/>
        </w:rPr>
        <w:t>1、提交投标文件截止时间、开标时间：</w:t>
      </w:r>
      <w:bookmarkStart w:id="15" w:name="_Hlk120096446"/>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06</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12</w:t>
      </w:r>
      <w:r>
        <w:rPr>
          <w:rFonts w:hint="eastAsia" w:ascii="宋体" w:hAnsi="宋体" w:eastAsia="宋体" w:cs="宋体"/>
          <w:color w:val="000000"/>
          <w:szCs w:val="21"/>
          <w:highlight w:val="none"/>
          <w:u w:val="single"/>
        </w:rPr>
        <w:t>日</w:t>
      </w:r>
      <w:r>
        <w:rPr>
          <w:rFonts w:hint="eastAsia" w:ascii="宋体" w:hAnsi="宋体" w:cs="宋体"/>
          <w:color w:val="000000"/>
          <w:szCs w:val="21"/>
          <w:highlight w:val="none"/>
          <w:u w:val="single"/>
          <w:lang w:val="en-US" w:eastAsia="zh-CN"/>
        </w:rPr>
        <w:t>10</w:t>
      </w:r>
      <w:r>
        <w:rPr>
          <w:rFonts w:hint="eastAsia" w:ascii="宋体" w:hAnsi="宋体" w:eastAsia="宋体" w:cs="宋体"/>
          <w:color w:val="000000"/>
          <w:szCs w:val="21"/>
          <w:highlight w:val="none"/>
          <w:u w:val="single"/>
        </w:rPr>
        <w:t>点</w:t>
      </w:r>
      <w:r>
        <w:rPr>
          <w:rFonts w:hint="eastAsia" w:ascii="宋体" w:hAnsi="宋体" w:cs="宋体"/>
          <w:color w:val="000000"/>
          <w:szCs w:val="21"/>
          <w:highlight w:val="none"/>
          <w:u w:val="single"/>
          <w:lang w:val="en-US" w:eastAsia="zh-CN"/>
        </w:rPr>
        <w:t>0</w:t>
      </w:r>
      <w:r>
        <w:rPr>
          <w:rFonts w:hint="eastAsia" w:ascii="宋体" w:hAnsi="宋体" w:eastAsia="宋体" w:cs="宋体"/>
          <w:color w:val="000000"/>
          <w:szCs w:val="21"/>
          <w:highlight w:val="none"/>
          <w:u w:val="single"/>
        </w:rPr>
        <w:t>0分</w:t>
      </w:r>
      <w:bookmarkEnd w:id="15"/>
      <w:r>
        <w:rPr>
          <w:rFonts w:hint="eastAsia" w:ascii="宋体" w:hAnsi="宋体" w:eastAsia="宋体" w:cs="宋体"/>
          <w:bCs/>
          <w:color w:val="000000"/>
          <w:szCs w:val="21"/>
          <w:highlight w:val="none"/>
          <w:u w:val="single"/>
        </w:rPr>
        <w:t>（北京时间）</w:t>
      </w:r>
    </w:p>
    <w:p>
      <w:pPr>
        <w:spacing w:line="360" w:lineRule="auto"/>
        <w:ind w:firstLine="525" w:firstLineChars="250"/>
        <w:rPr>
          <w:rFonts w:hint="eastAsia" w:ascii="宋体" w:hAnsi="宋体" w:eastAsia="宋体" w:cs="宋体"/>
          <w:bCs/>
          <w:color w:val="000000"/>
          <w:szCs w:val="21"/>
          <w:highlight w:val="none"/>
          <w:u w:val="single"/>
        </w:rPr>
      </w:pPr>
      <w:r>
        <w:rPr>
          <w:rFonts w:hint="eastAsia" w:ascii="宋体" w:hAnsi="宋体" w:eastAsia="宋体" w:cs="宋体"/>
          <w:color w:val="000000"/>
          <w:szCs w:val="21"/>
          <w:highlight w:val="none"/>
        </w:rPr>
        <w:t>2、地点：</w:t>
      </w:r>
      <w:r>
        <w:rPr>
          <w:rFonts w:hint="eastAsia" w:ascii="宋体" w:hAnsi="宋体" w:eastAsia="宋体" w:cs="宋体"/>
          <w:color w:val="000000"/>
          <w:highlight w:val="none"/>
          <w:u w:val="single"/>
        </w:rPr>
        <w:t>扬州市长乐客栈酒店有限公司（扬州市东关街357号长乐客栈</w:t>
      </w:r>
      <w:r>
        <w:rPr>
          <w:rFonts w:hint="eastAsia" w:ascii="宋体" w:hAnsi="宋体" w:cs="宋体"/>
          <w:color w:val="000000"/>
          <w:highlight w:val="none"/>
          <w:u w:val="single"/>
          <w:lang w:val="en-US" w:eastAsia="zh-CN"/>
        </w:rPr>
        <w:t>街南书屋贵宾楼会议室</w:t>
      </w:r>
      <w:r>
        <w:rPr>
          <w:rFonts w:hint="eastAsia" w:ascii="宋体" w:hAnsi="宋体" w:eastAsia="宋体" w:cs="宋体"/>
          <w:color w:val="000000"/>
          <w:highlight w:val="none"/>
          <w:u w:val="single"/>
        </w:rPr>
        <w:t>）</w:t>
      </w:r>
    </w:p>
    <w:p>
      <w:pPr>
        <w:pStyle w:val="6"/>
        <w:spacing w:before="0" w:after="0" w:line="360" w:lineRule="auto"/>
        <w:rPr>
          <w:rFonts w:hint="eastAsia" w:ascii="宋体" w:hAnsi="宋体" w:eastAsia="宋体" w:cs="宋体"/>
          <w:color w:val="000000"/>
          <w:sz w:val="21"/>
          <w:szCs w:val="21"/>
          <w:highlight w:val="none"/>
        </w:rPr>
      </w:pPr>
      <w:bookmarkStart w:id="16" w:name="_Toc121083164"/>
      <w:r>
        <w:rPr>
          <w:rFonts w:hint="eastAsia" w:ascii="宋体" w:hAnsi="宋体" w:eastAsia="宋体" w:cs="宋体"/>
          <w:color w:val="000000"/>
          <w:sz w:val="21"/>
          <w:szCs w:val="21"/>
          <w:highlight w:val="none"/>
        </w:rPr>
        <w:t>六、其他补充事宜</w:t>
      </w:r>
      <w:bookmarkEnd w:id="16"/>
    </w:p>
    <w:p>
      <w:pPr>
        <w:spacing w:line="360" w:lineRule="auto"/>
        <w:ind w:firstLine="40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1、集中现场考察或召开答疑会：无</w:t>
      </w:r>
    </w:p>
    <w:p>
      <w:pPr>
        <w:spacing w:line="360" w:lineRule="auto"/>
        <w:ind w:firstLine="396" w:firstLineChars="200"/>
        <w:rPr>
          <w:rFonts w:hint="eastAsia" w:ascii="宋体" w:hAnsi="宋体" w:eastAsia="宋体" w:cs="宋体"/>
          <w:bCs/>
          <w:color w:val="000000"/>
          <w:spacing w:val="-6"/>
          <w:szCs w:val="21"/>
          <w:highlight w:val="none"/>
        </w:rPr>
      </w:pPr>
      <w:r>
        <w:rPr>
          <w:rFonts w:hint="eastAsia" w:ascii="宋体" w:hAnsi="宋体" w:eastAsia="宋体" w:cs="宋体"/>
          <w:color w:val="000000"/>
          <w:spacing w:val="-6"/>
          <w:kern w:val="0"/>
          <w:szCs w:val="21"/>
          <w:highlight w:val="none"/>
        </w:rPr>
        <w:t>2、</w:t>
      </w:r>
      <w:r>
        <w:rPr>
          <w:rFonts w:hint="eastAsia" w:ascii="宋体" w:hAnsi="宋体" w:eastAsia="宋体" w:cs="宋体"/>
          <w:bCs/>
          <w:color w:val="000000"/>
          <w:spacing w:val="-6"/>
          <w:szCs w:val="21"/>
          <w:highlight w:val="none"/>
        </w:rPr>
        <w:t>投标文件制作份数要求：</w:t>
      </w:r>
    </w:p>
    <w:p>
      <w:pPr>
        <w:spacing w:line="360" w:lineRule="auto"/>
        <w:ind w:firstLine="398" w:firstLineChars="200"/>
        <w:rPr>
          <w:rFonts w:hint="eastAsia" w:ascii="宋体" w:hAnsi="宋体" w:eastAsia="宋体" w:cs="宋体"/>
          <w:b/>
          <w:bCs/>
          <w:i/>
          <w:iCs/>
          <w:color w:val="000000"/>
          <w:spacing w:val="-6"/>
          <w:szCs w:val="21"/>
          <w:highlight w:val="none"/>
          <w:u w:val="single"/>
        </w:rPr>
      </w:pPr>
      <w:r>
        <w:rPr>
          <w:rFonts w:hint="eastAsia" w:ascii="宋体" w:hAnsi="宋体" w:eastAsia="宋体" w:cs="宋体"/>
          <w:b/>
          <w:bCs/>
          <w:i/>
          <w:iCs/>
          <w:color w:val="000000"/>
          <w:spacing w:val="-6"/>
          <w:szCs w:val="21"/>
          <w:highlight w:val="none"/>
          <w:u w:val="single"/>
        </w:rPr>
        <w:t>一式五份(一份正本，肆份副本) ，并提供电子投标文件U盘一份，每份投标文件须清楚标明“正本”或“副本”。投多个标段的供应商无需分标段制作标书，将多个标段制作在同一标书内，但要清晰注明标段名称，每份投标文件须清楚地标明“正本”或“副本”字样。</w:t>
      </w:r>
    </w:p>
    <w:p>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pacing w:val="-6"/>
          <w:szCs w:val="21"/>
          <w:highlight w:val="none"/>
        </w:rPr>
        <w:t>、潜在投标人对招标文件项目需求部分的询问、质疑请向招标人提出，由招标人负责答复。</w:t>
      </w:r>
    </w:p>
    <w:p>
      <w:pPr>
        <w:spacing w:line="360" w:lineRule="auto"/>
        <w:ind w:firstLine="420" w:firstLineChars="200"/>
        <w:rPr>
          <w:rFonts w:hint="eastAsia" w:ascii="宋体" w:hAnsi="宋体" w:eastAsia="宋体" w:cs="宋体"/>
          <w:b w:val="0"/>
          <w:bCs w:val="0"/>
          <w:color w:val="000000"/>
          <w:highlight w:val="none"/>
        </w:rPr>
      </w:pPr>
      <w:r>
        <w:rPr>
          <w:rFonts w:hint="eastAsia" w:ascii="宋体" w:hAnsi="宋体" w:eastAsia="宋体" w:cs="宋体"/>
          <w:b w:val="0"/>
          <w:bCs w:val="0"/>
          <w:color w:val="000000"/>
          <w:kern w:val="0"/>
          <w:szCs w:val="21"/>
          <w:highlight w:val="none"/>
        </w:rPr>
        <w:t>4、</w:t>
      </w:r>
      <w:r>
        <w:rPr>
          <w:rFonts w:hint="eastAsia" w:ascii="宋体" w:hAnsi="宋体" w:eastAsia="宋体" w:cs="宋体"/>
          <w:b w:val="0"/>
          <w:bCs w:val="0"/>
          <w:color w:val="000000"/>
          <w:szCs w:val="21"/>
          <w:highlight w:val="none"/>
        </w:rPr>
        <w:t>本次招标</w:t>
      </w:r>
      <w:r>
        <w:rPr>
          <w:rFonts w:hint="eastAsia" w:ascii="宋体" w:hAnsi="宋体" w:cs="宋体"/>
          <w:b w:val="0"/>
          <w:bCs w:val="0"/>
          <w:color w:val="000000"/>
          <w:szCs w:val="21"/>
          <w:highlight w:val="none"/>
          <w:lang w:val="en-US" w:eastAsia="zh-CN"/>
        </w:rPr>
        <w:t>不</w:t>
      </w:r>
      <w:r>
        <w:rPr>
          <w:rFonts w:hint="eastAsia" w:ascii="宋体" w:hAnsi="宋体" w:eastAsia="宋体" w:cs="宋体"/>
          <w:b w:val="0"/>
          <w:bCs w:val="0"/>
          <w:color w:val="000000"/>
          <w:szCs w:val="21"/>
          <w:highlight w:val="none"/>
        </w:rPr>
        <w:t>收取投标保证金</w:t>
      </w:r>
    </w:p>
    <w:p>
      <w:pPr>
        <w:pStyle w:val="6"/>
        <w:spacing w:before="0" w:after="0" w:line="360" w:lineRule="auto"/>
        <w:rPr>
          <w:rFonts w:hint="eastAsia" w:ascii="宋体" w:hAnsi="宋体" w:eastAsia="宋体" w:cs="宋体"/>
          <w:color w:val="000000"/>
          <w:sz w:val="21"/>
          <w:szCs w:val="21"/>
          <w:highlight w:val="none"/>
        </w:rPr>
      </w:pPr>
      <w:bookmarkStart w:id="17" w:name="_Toc28359018"/>
      <w:bookmarkStart w:id="18" w:name="_Toc121083165"/>
      <w:bookmarkStart w:id="19" w:name="_Toc35393636"/>
      <w:bookmarkStart w:id="20" w:name="_Toc35393805"/>
      <w:bookmarkStart w:id="21" w:name="_Toc28359095"/>
      <w:r>
        <w:rPr>
          <w:rFonts w:hint="eastAsia" w:ascii="宋体" w:hAnsi="宋体" w:eastAsia="宋体" w:cs="宋体"/>
          <w:color w:val="000000"/>
          <w:sz w:val="21"/>
          <w:szCs w:val="21"/>
          <w:highlight w:val="none"/>
        </w:rPr>
        <w:t>七、凡对本次招标提出询问，请按以下方式联系。</w:t>
      </w:r>
      <w:bookmarkEnd w:id="17"/>
      <w:bookmarkEnd w:id="18"/>
      <w:bookmarkEnd w:id="19"/>
      <w:bookmarkEnd w:id="20"/>
      <w:bookmarkEnd w:id="21"/>
    </w:p>
    <w:p>
      <w:pPr>
        <w:pStyle w:val="6"/>
        <w:spacing w:before="0" w:after="0" w:line="360" w:lineRule="auto"/>
        <w:ind w:firstLine="420" w:firstLineChars="200"/>
        <w:rPr>
          <w:rFonts w:hint="eastAsia" w:ascii="宋体" w:hAnsi="宋体" w:eastAsia="宋体" w:cs="宋体"/>
          <w:b w:val="0"/>
          <w:color w:val="000000"/>
          <w:sz w:val="21"/>
          <w:szCs w:val="21"/>
          <w:highlight w:val="none"/>
        </w:rPr>
      </w:pPr>
      <w:bookmarkStart w:id="22" w:name="_Toc121083166"/>
      <w:bookmarkStart w:id="23" w:name="_Toc35393806"/>
      <w:bookmarkStart w:id="24" w:name="_Toc28359019"/>
      <w:bookmarkStart w:id="25" w:name="_Toc28359096"/>
      <w:bookmarkStart w:id="26" w:name="_Toc35393637"/>
      <w:r>
        <w:rPr>
          <w:rFonts w:hint="eastAsia" w:ascii="宋体" w:hAnsi="宋体" w:eastAsia="宋体" w:cs="宋体"/>
          <w:b w:val="0"/>
          <w:color w:val="000000"/>
          <w:sz w:val="21"/>
          <w:szCs w:val="21"/>
          <w:highlight w:val="none"/>
        </w:rPr>
        <w:t>1、招标人信息</w:t>
      </w:r>
      <w:bookmarkEnd w:id="22"/>
      <w:bookmarkEnd w:id="23"/>
      <w:bookmarkEnd w:id="24"/>
      <w:bookmarkEnd w:id="25"/>
      <w:bookmarkEnd w:id="26"/>
    </w:p>
    <w:p>
      <w:pPr>
        <w:spacing w:line="360" w:lineRule="auto"/>
        <w:ind w:firstLine="420" w:firstLineChars="200"/>
        <w:rPr>
          <w:rFonts w:hint="eastAsia" w:ascii="宋体" w:hAnsi="宋体" w:eastAsia="宋体" w:cs="宋体"/>
          <w:color w:val="000000"/>
          <w:szCs w:val="21"/>
          <w:highlight w:val="none"/>
        </w:rPr>
      </w:pPr>
      <w:bookmarkStart w:id="27" w:name="_Toc28359020"/>
      <w:bookmarkStart w:id="28" w:name="_Toc35393638"/>
      <w:bookmarkStart w:id="29" w:name="_Toc35393807"/>
      <w:bookmarkStart w:id="30" w:name="_Toc28359097"/>
      <w:r>
        <w:rPr>
          <w:rFonts w:hint="eastAsia" w:ascii="宋体" w:hAnsi="宋体" w:eastAsia="宋体" w:cs="宋体"/>
          <w:color w:val="000000"/>
          <w:szCs w:val="21"/>
          <w:highlight w:val="none"/>
        </w:rPr>
        <w:t>名    称：</w:t>
      </w:r>
      <w:r>
        <w:rPr>
          <w:rFonts w:hint="eastAsia" w:ascii="宋体" w:hAnsi="宋体" w:eastAsia="宋体" w:cs="宋体"/>
          <w:color w:val="000000"/>
          <w:szCs w:val="21"/>
          <w:highlight w:val="none"/>
          <w:u w:val="single"/>
        </w:rPr>
        <w:t>扬州市长乐客栈酒店有限公司</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扬州市东关街357号</w:t>
      </w:r>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u w:val="single"/>
        </w:rPr>
        <w:t>陈达慧</w:t>
      </w:r>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联系方式：</w:t>
      </w:r>
      <w:r>
        <w:rPr>
          <w:rFonts w:hint="eastAsia" w:ascii="宋体" w:hAnsi="宋体" w:eastAsia="宋体" w:cs="宋体"/>
          <w:color w:val="000000"/>
          <w:szCs w:val="21"/>
          <w:highlight w:val="none"/>
          <w:u w:val="single"/>
        </w:rPr>
        <w:t xml:space="preserve">0514-87807870 </w:t>
      </w:r>
    </w:p>
    <w:bookmarkEnd w:id="27"/>
    <w:bookmarkEnd w:id="28"/>
    <w:bookmarkEnd w:id="29"/>
    <w:bookmarkEnd w:id="30"/>
    <w:p>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17625857929</w:t>
      </w:r>
    </w:p>
    <w:p>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pPr>
        <w:bidi w:val="0"/>
        <w:rPr>
          <w:rFonts w:hint="eastAsia"/>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等线简">
    <w:altName w:val="宋体"/>
    <w:panose1 w:val="00000000000000000000"/>
    <w:charset w:val="86"/>
    <w:family w:val="modern"/>
    <w:pitch w:val="default"/>
    <w:sig w:usb0="00000000" w:usb1="00000000" w:usb2="00000012" w:usb3="00000000" w:csb0="00040000" w:csb1="00000000"/>
  </w:font>
  <w:font w:name="Garamond">
    <w:panose1 w:val="02020404030301010803"/>
    <w:charset w:val="00"/>
    <w:family w:val="roman"/>
    <w:pitch w:val="default"/>
    <w:sig w:usb0="00000287" w:usb1="00000000" w:usb2="00000000" w:usb3="00000000" w:csb0="0000009F" w:csb1="DFD70000"/>
  </w:font>
  <w:font w:name="oúì.">
    <w:altName w:val="黑体"/>
    <w:panose1 w:val="00000000000000000000"/>
    <w:charset w:val="86"/>
    <w:family w:val="modern"/>
    <w:pitch w:val="default"/>
    <w:sig w:usb0="00000000" w:usb1="00000000" w:usb2="00000010" w:usb3="00000000" w:csb0="00040000" w:csb1="00000000"/>
  </w:font>
  <w:font w:name="Verdana">
    <w:panose1 w:val="020B0604030504040204"/>
    <w:charset w:val="86"/>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010bc716-b5a1-4a44-a7e4-a76ffe548993"/>
  </w:docVars>
  <w:rsids>
    <w:rsidRoot w:val="202326A5"/>
    <w:rsid w:val="01936D64"/>
    <w:rsid w:val="02677E94"/>
    <w:rsid w:val="03CB5849"/>
    <w:rsid w:val="05963CB7"/>
    <w:rsid w:val="05A05FCA"/>
    <w:rsid w:val="05AE7D8F"/>
    <w:rsid w:val="08304829"/>
    <w:rsid w:val="08B378EC"/>
    <w:rsid w:val="09D20359"/>
    <w:rsid w:val="0BAE75C8"/>
    <w:rsid w:val="0CA42E5C"/>
    <w:rsid w:val="0F8C7619"/>
    <w:rsid w:val="1313368F"/>
    <w:rsid w:val="132F22FF"/>
    <w:rsid w:val="164031AA"/>
    <w:rsid w:val="18024095"/>
    <w:rsid w:val="1D440DFB"/>
    <w:rsid w:val="1D703777"/>
    <w:rsid w:val="202326A5"/>
    <w:rsid w:val="24053A78"/>
    <w:rsid w:val="242D51E0"/>
    <w:rsid w:val="2445341C"/>
    <w:rsid w:val="25524654"/>
    <w:rsid w:val="257844FD"/>
    <w:rsid w:val="281C3285"/>
    <w:rsid w:val="29201F1B"/>
    <w:rsid w:val="29736621"/>
    <w:rsid w:val="2C4D265D"/>
    <w:rsid w:val="2E8211E5"/>
    <w:rsid w:val="30525AEA"/>
    <w:rsid w:val="30C74A72"/>
    <w:rsid w:val="30E02943"/>
    <w:rsid w:val="326479DC"/>
    <w:rsid w:val="333B78F5"/>
    <w:rsid w:val="33AC290E"/>
    <w:rsid w:val="33F717A9"/>
    <w:rsid w:val="34B65342"/>
    <w:rsid w:val="3AD373E4"/>
    <w:rsid w:val="3DE51CDE"/>
    <w:rsid w:val="403877DB"/>
    <w:rsid w:val="44955F65"/>
    <w:rsid w:val="46C70E1F"/>
    <w:rsid w:val="46E5400A"/>
    <w:rsid w:val="47333578"/>
    <w:rsid w:val="4A6D1B09"/>
    <w:rsid w:val="502C68FA"/>
    <w:rsid w:val="50E3065F"/>
    <w:rsid w:val="50EE5304"/>
    <w:rsid w:val="52A960A8"/>
    <w:rsid w:val="52E459C0"/>
    <w:rsid w:val="57521933"/>
    <w:rsid w:val="58FD65B3"/>
    <w:rsid w:val="5BB01B54"/>
    <w:rsid w:val="5CAB4F72"/>
    <w:rsid w:val="5F753130"/>
    <w:rsid w:val="62366698"/>
    <w:rsid w:val="63731396"/>
    <w:rsid w:val="6A4078BC"/>
    <w:rsid w:val="6A80566C"/>
    <w:rsid w:val="6D97224C"/>
    <w:rsid w:val="713E74FC"/>
    <w:rsid w:val="721C42E9"/>
    <w:rsid w:val="732001AA"/>
    <w:rsid w:val="756B18A5"/>
    <w:rsid w:val="75C97D7D"/>
    <w:rsid w:val="7C6F0124"/>
    <w:rsid w:val="7DBC05B4"/>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7"/>
    <w:qFormat/>
    <w:uiPriority w:val="0"/>
    <w:pPr>
      <w:keepNext/>
      <w:keepLines/>
      <w:spacing w:before="260" w:after="260" w:line="416" w:lineRule="auto"/>
      <w:outlineLvl w:val="1"/>
    </w:pPr>
    <w:rPr>
      <w:rFonts w:ascii="汉仪细等线简" w:hAnsi="汉仪细等线简"/>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56" w:beforeLines="50" w:after="156" w:afterLines="50" w:line="360" w:lineRule="auto"/>
      <w:ind w:firstLine="420" w:firstLineChars="200"/>
    </w:pPr>
    <w:rPr>
      <w:sz w:val="24"/>
      <w:szCs w:val="24"/>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spacing w:line="360" w:lineRule="auto"/>
      <w:ind w:firstLine="200" w:firstLineChars="200"/>
    </w:pPr>
    <w:rPr>
      <w:rFonts w:ascii="Arial" w:hAnsi="Arial" w:cs="Arial"/>
      <w:sz w:val="24"/>
    </w:rPr>
  </w:style>
  <w:style w:type="paragraph" w:styleId="7">
    <w:name w:val="Body Text"/>
    <w:basedOn w:val="1"/>
    <w:next w:val="8"/>
    <w:qFormat/>
    <w:uiPriority w:val="0"/>
    <w:rPr>
      <w:rFonts w:ascii="Garamond" w:hAnsi="oúì." w:eastAsia="Garamond"/>
      <w:kern w:val="0"/>
      <w:sz w:val="28"/>
      <w:szCs w:val="28"/>
    </w:rPr>
  </w:style>
  <w:style w:type="paragraph" w:styleId="8">
    <w:name w:val="Body Text 3"/>
    <w:basedOn w:val="1"/>
    <w:next w:val="1"/>
    <w:qFormat/>
    <w:uiPriority w:val="0"/>
    <w:pPr>
      <w:spacing w:after="120"/>
    </w:pPr>
    <w:rPr>
      <w:sz w:val="16"/>
      <w:szCs w:val="16"/>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style>
  <w:style w:type="paragraph" w:styleId="12">
    <w:name w:val="Normal (Web)"/>
    <w:basedOn w:val="1"/>
    <w:qFormat/>
    <w:uiPriority w:val="99"/>
    <w:pPr>
      <w:widowControl/>
      <w:spacing w:before="100" w:beforeAutospacing="1" w:after="100" w:afterAutospacing="1"/>
      <w:jc w:val="left"/>
    </w:pPr>
    <w:rPr>
      <w:rFonts w:ascii="Verdana" w:hAnsi="Verdana" w:cs="Verdana"/>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2184</Words>
  <Characters>2290</Characters>
  <Lines>0</Lines>
  <Paragraphs>0</Paragraphs>
  <TotalTime>2</TotalTime>
  <ScaleCrop>false</ScaleCrop>
  <LinksUpToDate>false</LinksUpToDate>
  <CharactersWithSpaces>2309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2024-05-09T07:55:00Z</dcterms:created>
  <dc:creator>李云</dc:creator>
  <cp:lastModifiedBy>采采</cp:lastModifiedBy>
  <dcterms:modified xsi:type="dcterms:W3CDTF">2024-05-22T09:47:43Z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AA692071C02346538427D57C808B8EA2_13</vt:lpwstr>
  </property>
</Properties>
</file>